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26-286</w:t>
      </w:r>
    </w:p>
    <w:p>
      <w:pPr>
        <w:spacing w:before="0" w:after="0" w:line="480"/>
        <w:ind w:left="120"/>
        <w:jc w:val="left"/>
      </w:pPr>
    </w:p>
    <w:p>
      <w:pPr>
        <w:spacing w:before="0" w:after="0" w:line="480"/>
        <w:ind w:left="120"/>
        <w:jc w:val="center"/>
      </w:pPr>
      <w:r>
        <w:rPr>
          <w:rFonts w:ascii="Times New Roman" w:hAnsi="Times New Roman"/>
          <w:b/>
          <w:i w:val="false"/>
          <w:color w:val="000000"/>
          <w:sz w:val="28"/>
        </w:rPr>
        <w:t>EDUCATIONAL EXAMINERS BOARD[282]</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282—Chapter 22</w:t>
      </w:r>
    </w:p>
    <w:p>
      <w:pPr>
        <w:spacing w:before="0" w:after="0" w:line="480"/>
        <w:ind w:left="120"/>
        <w:jc w:val="center"/>
      </w:pPr>
      <w:r>
        <w:rPr>
          <w:rFonts w:ascii="Times New Roman" w:hAnsi="Times New Roman"/>
          <w:b w:val="false"/>
          <w:i w:val="false"/>
          <w:color w:val="000000"/>
          <w:sz w:val="24"/>
        </w:rPr>
        <w:t>“Limited Authorizations”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256.146</w:t>
      </w:r>
    </w:p>
    <w:p>
      <w:pPr>
        <w:spacing w:before="0" w:after="0" w:line="480"/>
        <w:ind w:left="120"/>
        <w:jc w:val="both"/>
      </w:pPr>
      <w:r>
        <w:rPr>
          <w:rFonts w:ascii="Times New Roman" w:hAnsi="Times New Roman"/>
          <w:b w:val="false"/>
          <w:i w:val="false"/>
          <w:color w:val="000000"/>
          <w:sz w:val="24"/>
        </w:rPr>
        <w:t>State or federal law(s) implemented by the rulemaking: Iowa Code section 256.146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96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Also via Google Meet</w:t>
            </w:r>
            <w:r>
              <w:br/>
            </w:r>
            <w:r>
              <w:rPr>
                <w:rFonts w:ascii="Times New Roman" w:hAnsi="Times New Roman"/>
                <w:b w:val="false"/>
                <w:i w:val="false"/>
                <w:color w:val="000000"/>
                <w:sz w:val="14"/>
              </w:rPr>
              <w:t xml:space="preserve">Video call link: </w:t>
            </w:r>
            <w:hyperlink r:id="rId4">
              <w:r>
                <w:rPr>
                  <w:rStyle w:val="Hyperlink"/>
                  <w:rFonts w:ascii="Times New Roman" w:hAnsi="Times New Roman"/>
                  <w:b w:val="false"/>
                  <w:i w:val="false"/>
                  <w:color w:val="0000ff"/>
                  <w:sz w:val="14"/>
                </w:rPr>
                <w:t>meet.google.com/hcw-cnqi-ifz</w:t>
              </w:r>
            </w:hyperlink>
            <w:r>
              <w:br/>
            </w:r>
            <w:r>
              <w:rPr>
                <w:rFonts w:ascii="Times New Roman" w:hAnsi="Times New Roman"/>
                <w:b w:val="false"/>
                <w:i w:val="false"/>
                <w:color w:val="000000"/>
                <w:sz w:val="14"/>
              </w:rPr>
              <w:t>Or dial: ‪1.405.356.8095</w:t>
            </w:r>
            <w:r>
              <w:br/>
            </w:r>
            <w:r>
              <w:rPr>
                <w:rFonts w:ascii="Times New Roman" w:hAnsi="Times New Roman"/>
                <w:b w:val="false"/>
                <w:i w:val="false"/>
                <w:color w:val="000000"/>
                <w:sz w:val="14"/>
              </w:rPr>
              <w:t>PIN: ‪528 469 374#</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Education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Beth Myers</w:t>
            </w:r>
            <w:r>
              <w:br/>
            </w:r>
            <w:r>
              <w:rPr>
                <w:rFonts w:ascii="Times New Roman" w:hAnsi="Times New Roman"/>
                <w:b w:val="false"/>
                <w:i w:val="false"/>
                <w:color w:val="000000"/>
                <w:sz w:val="14"/>
              </w:rPr>
              <w:t>Bureau of Educational Examiners, Iowa Department of Education</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515.419.3679</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beth.myers@iowa.gov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complies with several changes made during the 2026 Legislative Session. Item 1 changes the requirements for the career and technical authorization as required in 2026 Iowa Acts, Senate File 2168. Item 2 removes the requirement for a baccalaureate degree for an athletic director authorization as required in 2026 Iowa Acts, House File 2724. Item 3 creates a new pathway for licensing people with experience in arts and sciences as directed in House File 2724.</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known costs of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Iowans seeking licensure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known quantitative impact.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is that there will be less of a barrier for people seeking these licenses.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Implementation costs are expected to be minimal and absorbed within existing agency resources.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rulemaking is not anticipated to have a direct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underlying legislation requires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underlying legislation requires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seriously considered by the Department since the underlying legislation requires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Alternative methods were rejected. The underlying legislation requires rulemaking.</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282—22.3(256)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282—22.3</w:t>
      </w:r>
      <w:r>
        <w:rPr>
          <w:rFonts w:ascii="Times New Roman" w:hAnsi="Times New Roman"/>
          <w:b/>
          <w:i w:val="false"/>
          <w:color w:val="000000"/>
          <w:sz w:val="24"/>
        </w:rPr>
        <w:t xml:space="preserve">(256) </w:t>
      </w:r>
      <w:r>
        <w:rPr>
          <w:rFonts w:ascii="Times New Roman" w:hAnsi="Times New Roman"/>
          <w:b/>
          <w:i w:val="false"/>
          <w:color w:val="000000"/>
          <w:sz w:val="24"/>
        </w:rPr>
        <w:t xml:space="preserve">Career and technical authorization.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22.3(1)</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the initial career and technical authorization.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Applicants will meet one of the following qualifications: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Have </w:t>
      </w:r>
      <w:r>
        <w:rPr>
          <w:rFonts w:ascii="Times New Roman" w:hAnsi="Times New Roman"/>
          <w:b w:val="false"/>
          <w:i w:val="false"/>
          <w:strike/>
          <w:color w:val="000000"/>
          <w:sz w:val="24"/>
        </w:rPr>
        <w:t>6,000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3,000</w:t>
      </w:r>
      <w:r>
        <w:rPr>
          <w:rFonts w:ascii="Times New Roman" w:hAnsi="Times New Roman"/>
          <w:b w:val="false"/>
          <w:i w:val="false"/>
          <w:color w:val="000000"/>
          <w:sz w:val="24"/>
        </w:rPr>
        <w:t xml:space="preserve"> hours of recent and relevant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Have </w:t>
      </w:r>
      <w:r>
        <w:rPr>
          <w:rFonts w:ascii="Times New Roman" w:hAnsi="Times New Roman"/>
          <w:b w:val="false"/>
          <w:i w:val="false"/>
          <w:strike/>
          <w:color w:val="000000"/>
          <w:sz w:val="24"/>
        </w:rPr>
        <w:t>4,000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2,000</w:t>
      </w:r>
      <w:r>
        <w:rPr>
          <w:rFonts w:ascii="Times New Roman" w:hAnsi="Times New Roman"/>
          <w:b w:val="false"/>
          <w:i w:val="false"/>
          <w:color w:val="000000"/>
          <w:sz w:val="24"/>
        </w:rPr>
        <w:t xml:space="preserve"> hours of recent and relevant experience if the applicant holds a baccalaureate degree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an associate’s degree in the endorsement area, if such a degree is considered terminal for that field of instruction</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(3)</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Have 3,000 hours of recent and relevant experience if the applicant holds an associate’s degree in the teaching endorsement area sought, if such a degree is considered terminal for that field of instruction;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(4)</w:t>
      </w:r>
      <w:r>
        <w:rPr>
          <w:rFonts w:ascii="Times New Roman" w:hAnsi="Times New Roman"/>
          <w:b w:val="false"/>
          <w:i w:val="false"/>
          <w:color w:val="000000"/>
          <w:sz w:val="24"/>
        </w:rPr>
        <w:t xml:space="preserve"> </w:t>
      </w:r>
      <w:r>
        <w:rPr>
          <w:rFonts w:ascii="Times New Roman" w:hAnsi="Times New Roman"/>
          <w:b w:val="false"/>
          <w:i w:val="false"/>
          <w:color w:val="000000"/>
          <w:sz w:val="24"/>
          <w:u w:val="single"/>
        </w:rPr>
        <w:t>(3)</w:t>
      </w:r>
      <w:r>
        <w:rPr>
          <w:rFonts w:ascii="Times New Roman" w:hAnsi="Times New Roman"/>
          <w:b w:val="false"/>
          <w:i w:val="false"/>
          <w:color w:val="000000"/>
          <w:sz w:val="24"/>
        </w:rPr>
        <w:t>Hold a baccalaureate or graduate degree or closely related degree in the teaching endorsement area sought;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(5)</w:t>
      </w:r>
      <w:r>
        <w:rPr>
          <w:rFonts w:ascii="Times New Roman" w:hAnsi="Times New Roman"/>
          <w:b w:val="false"/>
          <w:i w:val="false"/>
          <w:color w:val="000000"/>
          <w:sz w:val="24"/>
        </w:rPr>
        <w:t xml:space="preserve"> </w:t>
      </w:r>
      <w:r>
        <w:rPr>
          <w:rFonts w:ascii="Times New Roman" w:hAnsi="Times New Roman"/>
          <w:b w:val="false"/>
          <w:i w:val="false"/>
          <w:color w:val="000000"/>
          <w:sz w:val="24"/>
          <w:u w:val="single"/>
        </w:rPr>
        <w:t>(4)</w:t>
      </w:r>
      <w:r>
        <w:rPr>
          <w:rFonts w:ascii="Times New Roman" w:hAnsi="Times New Roman"/>
          <w:b w:val="false"/>
          <w:i w:val="false"/>
          <w:color w:val="000000"/>
          <w:sz w:val="24"/>
        </w:rPr>
        <w:t>Hold a baccalaureate degree in any area of study if at least 18 of the credit hours were completed in the teaching endorsement area sought.</w:t>
      </w:r>
    </w:p>
    <w:p>
      <w:pPr>
        <w:spacing w:before="0" w:after="0" w:line="480"/>
        <w:ind w:left="120"/>
        <w:jc w:val="both"/>
      </w:pPr>
      <w:r>
        <w:rPr>
          <w:rFonts w:ascii="Times New Roman" w:hAnsi="Times New Roman"/>
          <w:b w:val="false"/>
          <w:i w:val="false"/>
          <w:color w:val="000000"/>
          <w:sz w:val="24"/>
        </w:rPr>
        <w:t>For a career and technical cluster endorsement, an applicant will meet one of the above qualifications and have at least 2,000 hours of recent and relevant experience or nine semester hours each in two additional areas within the cluster endorsement. Combinations of experience and education may be approved by the executive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Recent and relevant experience will have been accrued within the ten years prior to the date of application. Experience that does not meet these criteria may be considered at the discretion of the executive director. In subjects for which state registration, certification or licensure is required, the applicant will hold the appropriate license, registration or certificate before the initial career and technical secondary authorization or the career and technical secondary authorization will be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c.</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applicant will have verification of educator ethics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c.</w:t>
      </w:r>
      <w:r>
        <w:rPr>
          <w:rFonts w:ascii="Times New Roman" w:hAnsi="Times New Roman"/>
          <w:b w:val="false"/>
          <w:i w:val="false"/>
          <w:color w:val="000000"/>
          <w:sz w:val="24"/>
        </w:rPr>
        <w:t xml:space="preserve"> </w:t>
      </w:r>
      <w:r>
        <w:rPr>
          <w:rFonts w:ascii="Times New Roman" w:hAnsi="Times New Roman"/>
          <w:b w:val="false"/>
          <w:i/>
          <w:color w:val="000000"/>
          <w:sz w:val="24"/>
          <w:u w:val="single"/>
        </w:rPr>
        <w:t>d.</w:t>
      </w:r>
      <w:r>
        <w:rPr>
          <w:rFonts w:ascii="Times New Roman" w:hAnsi="Times New Roman"/>
          <w:b w:val="false"/>
          <w:i w:val="false"/>
          <w:color w:val="000000"/>
          <w:sz w:val="24"/>
        </w:rPr>
        <w:t>During the term of the initial authorization, the applicant will complete board-approved training 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Coursework in the methods and techniques of career and technical education.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Coursework in course and curriculum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Coursework in the measurement and evaluation of programs and students.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approved human relations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Coursework in the instruction of exceptional learners to include the education of individuals with disabilities</w:t>
      </w:r>
      <w:r>
        <w:rPr>
          <w:rFonts w:ascii="Times New Roman" w:hAnsi="Times New Roman"/>
          <w:b w:val="false"/>
          <w:i w:val="false"/>
          <w:color w:val="000000"/>
          <w:sz w:val="24"/>
          <w:u w:val="single"/>
        </w:rPr>
        <w:t>, English language learners</w:t>
      </w:r>
      <w:r>
        <w:rPr>
          <w:rFonts w:ascii="Times New Roman" w:hAnsi="Times New Roman"/>
          <w:b w:val="false"/>
          <w:i w:val="false"/>
          <w:color w:val="000000"/>
          <w:sz w:val="24"/>
        </w:rPr>
        <w:t xml:space="preserve"> and the gifted and talented.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Ethics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d.</w:t>
      </w:r>
      <w:r>
        <w:rPr>
          <w:rFonts w:ascii="Times New Roman" w:hAnsi="Times New Roman"/>
          <w:b w:val="false"/>
          <w:i w:val="false"/>
          <w:color w:val="000000"/>
          <w:sz w:val="24"/>
        </w:rPr>
        <w:t xml:space="preserve"> </w:t>
      </w:r>
      <w:r>
        <w:rPr>
          <w:rFonts w:ascii="Times New Roman" w:hAnsi="Times New Roman"/>
          <w:b w:val="false"/>
          <w:i/>
          <w:color w:val="000000"/>
          <w:sz w:val="24"/>
          <w:u w:val="single"/>
        </w:rPr>
        <w:t>e.</w:t>
      </w:r>
      <w:r>
        <w:rPr>
          <w:rFonts w:ascii="Times New Roman" w:hAnsi="Times New Roman"/>
          <w:b w:val="false"/>
          <w:i w:val="false"/>
          <w:color w:val="000000"/>
          <w:sz w:val="24"/>
        </w:rPr>
        <w:t xml:space="preserve">The applicant will be assigned a mentor by the hiring school district.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22.3(2)</w:t>
      </w:r>
      <w:r>
        <w:rPr>
          <w:rFonts w:ascii="Times New Roman" w:hAnsi="Times New Roman"/>
          <w:b w:val="false"/>
          <w:i w:val="false"/>
          <w:color w:val="000000"/>
          <w:sz w:val="24"/>
        </w:rPr>
        <w:t> </w:t>
      </w:r>
      <w:r>
        <w:rPr>
          <w:rFonts w:ascii="Times New Roman" w:hAnsi="Times New Roman"/>
          <w:b w:val="false"/>
          <w:i/>
          <w:color w:val="000000"/>
          <w:sz w:val="24"/>
        </w:rPr>
        <w:t xml:space="preserve">Validity—initial authorization. </w:t>
      </w:r>
      <w:r>
        <w:rPr>
          <w:rFonts w:ascii="Times New Roman" w:hAnsi="Times New Roman"/>
          <w:b w:val="false"/>
          <w:i w:val="false"/>
          <w:color w:val="000000"/>
          <w:sz w:val="24"/>
        </w:rPr>
        <w:t>The initial authorization is valid for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22.3(3)</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the career and technical authorization. </w:t>
      </w:r>
      <w:r>
        <w:rPr>
          <w:rFonts w:ascii="Times New Roman" w:hAnsi="Times New Roman"/>
          <w:b w:val="false"/>
          <w:i w:val="false"/>
          <w:color w:val="000000"/>
          <w:sz w:val="24"/>
        </w:rPr>
        <w:t xml:space="preserve">The initial career and technical authorization may be converted to the career and technical authorization if the applicant completes the required coursework set forth in paragraph </w:t>
      </w:r>
      <w:r>
        <w:rPr>
          <w:rFonts w:ascii="Times New Roman" w:hAnsi="Times New Roman"/>
          <w:b w:val="false"/>
          <w:i w:val="false"/>
          <w:strike/>
          <w:color w:val="000000"/>
          <w:sz w:val="24"/>
        </w:rPr>
        <w:t>22.3(1)</w:t>
      </w:r>
      <w:r>
        <w:rPr>
          <w:rFonts w:ascii="Times New Roman" w:hAnsi="Times New Roman"/>
          <w:b w:val="false"/>
          <w:i/>
          <w:strike/>
          <w:color w:val="000000"/>
          <w:sz w:val="24"/>
        </w:rPr>
        <w:t>“c.”</w:t>
      </w:r>
      <w:r>
        <w:rPr>
          <w:rFonts w:ascii="Times New Roman" w:hAnsi="Times New Roman"/>
          <w:b w:val="false"/>
          <w:i w:val="false"/>
          <w:color w:val="000000"/>
          <w:sz w:val="24"/>
          <w:u w:val="single"/>
        </w:rPr>
        <w:t> </w:t>
      </w:r>
      <w:hyperlink r:id="rId6">
        <w:r>
          <w:rPr>
            <w:rStyle w:val="Hyperlink"/>
            <w:rFonts w:ascii="Times New Roman" w:hAnsi="Times New Roman"/>
            <w:b w:val="false"/>
            <w:i w:val="false"/>
            <w:color w:val="000000"/>
            <w:sz w:val="24"/>
            <w:u w:val="single"/>
          </w:rPr>
          <w:t>22.3(1)</w:t>
        </w:r>
      </w:hyperlink>
      <w:r>
        <w:rPr>
          <w:rFonts w:ascii="Times New Roman" w:hAnsi="Times New Roman"/>
          <w:b w:val="false"/>
          <w:i/>
          <w:color w:val="000000"/>
          <w:sz w:val="24"/>
          <w:u w:val="single"/>
        </w:rPr>
        <w:t>“d.”</w:t>
      </w:r>
      <w:r>
        <w:rPr>
          <w:rFonts w:ascii="Times New Roman" w:hAnsi="Times New Roman"/>
          <w:b w:val="false"/>
          <w:i w:val="false"/>
          <w:color w:val="000000"/>
          <w:sz w:val="24"/>
        </w:rPr>
        <w:t xml:space="preserve"> This authorization is valid for five years.</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282—22.8(256)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282—22.8</w:t>
      </w:r>
      <w:r>
        <w:rPr>
          <w:rFonts w:ascii="Times New Roman" w:hAnsi="Times New Roman"/>
          <w:b/>
          <w:i w:val="false"/>
          <w:color w:val="000000"/>
          <w:sz w:val="24"/>
        </w:rPr>
        <w:t xml:space="preserve">(256) </w:t>
      </w:r>
      <w:r>
        <w:rPr>
          <w:rFonts w:ascii="Times New Roman" w:hAnsi="Times New Roman"/>
          <w:b/>
          <w:i w:val="false"/>
          <w:color w:val="000000"/>
          <w:sz w:val="24"/>
        </w:rPr>
        <w:t xml:space="preserve">Activities administration authorization. </w:t>
      </w:r>
      <w:r>
        <w:rPr>
          <w:rFonts w:ascii="Times New Roman" w:hAnsi="Times New Roman"/>
          <w:b w:val="false"/>
          <w:i w:val="false"/>
          <w:color w:val="000000"/>
          <w:sz w:val="24"/>
        </w:rPr>
        <w:t>An activities administration authorization allows an individual to administer any student activity program in a K-12 school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22.8(1)</w:t>
      </w:r>
      <w:r>
        <w:rPr>
          <w:rFonts w:ascii="Times New Roman" w:hAnsi="Times New Roman"/>
          <w:b w:val="false"/>
          <w:i w:val="false"/>
          <w:color w:val="000000"/>
          <w:sz w:val="24"/>
        </w:rPr>
        <w:t> </w:t>
      </w:r>
      <w:r>
        <w:rPr>
          <w:rFonts w:ascii="Times New Roman" w:hAnsi="Times New Roman"/>
          <w:b w:val="false"/>
          <w:i/>
          <w:color w:val="000000"/>
          <w:sz w:val="24"/>
        </w:rPr>
        <w:t xml:space="preserve">Requirements. </w:t>
      </w:r>
      <w:r>
        <w:rPr>
          <w:rFonts w:ascii="Times New Roman" w:hAnsi="Times New Roman"/>
          <w:b w:val="false"/>
          <w:i w:val="false"/>
          <w:color w:val="000000"/>
          <w:sz w:val="24"/>
        </w:rPr>
        <w:t>Applicants for the activities administration authorization will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Degree. </w:t>
      </w:r>
      <w:r>
        <w:rPr>
          <w:rFonts w:ascii="Times New Roman" w:hAnsi="Times New Roman"/>
          <w:b w:val="false"/>
          <w:i w:val="false"/>
          <w:color w:val="000000"/>
          <w:sz w:val="24"/>
        </w:rPr>
        <w:t xml:space="preserve">A baccalaureate degree or higher </w:t>
      </w:r>
      <w:r>
        <w:rPr>
          <w:rFonts w:ascii="Times New Roman" w:hAnsi="Times New Roman"/>
          <w:b w:val="false"/>
          <w:i w:val="false"/>
          <w:strike/>
          <w:color w:val="000000"/>
          <w:sz w:val="24"/>
        </w:rPr>
        <w:t>related to athletics, physical education or a related field</w:t>
      </w:r>
      <w:r>
        <w:rPr>
          <w:rFonts w:ascii="Times New Roman" w:hAnsi="Times New Roman"/>
          <w:b w:val="false"/>
          <w:i w:val="false"/>
          <w:color w:val="000000"/>
          <w:sz w:val="24"/>
        </w:rPr>
        <w:t xml:space="preserve"> is required. </w:t>
      </w:r>
      <w:r>
        <w:rPr>
          <w:rFonts w:ascii="Times New Roman" w:hAnsi="Times New Roman"/>
          <w:b w:val="false"/>
          <w:i w:val="false"/>
          <w:strike/>
          <w:color w:val="000000"/>
          <w:sz w:val="24"/>
        </w:rPr>
        <w:t>Additional degree areas may be considered at the discretion of the executive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22.8(2)</w:t>
      </w:r>
      <w:r>
        <w:rPr>
          <w:rFonts w:ascii="Times New Roman" w:hAnsi="Times New Roman"/>
          <w:b w:val="false"/>
          <w:i w:val="false"/>
          <w:color w:val="000000"/>
          <w:sz w:val="24"/>
        </w:rPr>
        <w:t> </w:t>
      </w:r>
      <w:r>
        <w:rPr>
          <w:rFonts w:ascii="Times New Roman" w:hAnsi="Times New Roman"/>
          <w:b w:val="false"/>
          <w:i/>
          <w:color w:val="000000"/>
          <w:sz w:val="24"/>
        </w:rPr>
        <w:t xml:space="preserve">Validity. </w:t>
      </w:r>
      <w:r>
        <w:rPr>
          <w:rFonts w:ascii="Times New Roman" w:hAnsi="Times New Roman"/>
          <w:b w:val="false"/>
          <w:i w:val="false"/>
          <w:color w:val="000000"/>
          <w:sz w:val="24"/>
        </w:rPr>
        <w:t>The activities administration authorization is valid for five years.</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282—22.15(256)</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282—22.15</w:t>
      </w:r>
      <w:r>
        <w:rPr>
          <w:rFonts w:ascii="Times New Roman" w:hAnsi="Times New Roman"/>
          <w:b/>
          <w:i w:val="false"/>
          <w:color w:val="000000"/>
          <w:sz w:val="24"/>
        </w:rPr>
        <w:t xml:space="preserve">(256) </w:t>
      </w:r>
      <w:r>
        <w:rPr>
          <w:rFonts w:ascii="Times New Roman" w:hAnsi="Times New Roman"/>
          <w:b/>
          <w:i w:val="false"/>
          <w:color w:val="000000"/>
          <w:sz w:val="24"/>
        </w:rPr>
        <w:t xml:space="preserve">Arts and sciences authorization.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22.15(1)</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the initial arts and sciences authorization.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Degree. </w:t>
      </w:r>
      <w:r>
        <w:rPr>
          <w:rFonts w:ascii="Times New Roman" w:hAnsi="Times New Roman"/>
          <w:b w:val="false"/>
          <w:i w:val="false"/>
          <w:color w:val="000000"/>
          <w:sz w:val="24"/>
        </w:rPr>
        <w:t>Applicants will have a minimum of a baccalaureate degree or higher in any field.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Credit hours or experience. </w:t>
      </w:r>
      <w:r>
        <w:rPr>
          <w:rFonts w:ascii="Times New Roman" w:hAnsi="Times New Roman"/>
          <w:b w:val="false"/>
          <w:i w:val="false"/>
          <w:color w:val="000000"/>
          <w:sz w:val="24"/>
        </w:rPr>
        <w:t>Applicants will meet one of the following qualifications: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Music. K-8 and 5-12.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baccalaureate degree or higher in music,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24 semester credit hours in music and 6,000 hours of recent and relevant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Art. K-8 and 5-12.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baccalaureate degree or higher in art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24 semester credit hours in art and 6,000 hours of recent and relevant work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Science. K-8.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baccalaureate degree or higher in science,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24 semester credit hours across a broad field of science and 6,000 hours of recent and relevant work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Science—basic. 5-12.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baccalaureate degree or higher in science,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24 semester credit hours across a broad field of science and 6,000 hours of recent and relevant work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Math. K-8.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baccalaureate degree or higher in math, including algebra,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24 semester credit hours across a broad field of math including college algebra and 6,000 hours of recent and relevant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Math—basic. 5-12.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baccalaureate degree or higher in math, including algebra and geometry,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24 semester credit hours across a broad field of math including college algebra and geometry and 6,000 hours of recent and relevant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Experience. </w:t>
      </w:r>
      <w:r>
        <w:rPr>
          <w:rFonts w:ascii="Times New Roman" w:hAnsi="Times New Roman"/>
          <w:b w:val="false"/>
          <w:i w:val="false"/>
          <w:color w:val="000000"/>
          <w:sz w:val="24"/>
        </w:rPr>
        <w:t>Recent and relevant experience will have been accrued within the ten years prior to the date of application. Experience that does not meet these criteria may be considered at the discretion of the executive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Training. </w:t>
      </w:r>
      <w:r>
        <w:rPr>
          <w:rFonts w:ascii="Times New Roman" w:hAnsi="Times New Roman"/>
          <w:b w:val="false"/>
          <w:i w:val="false"/>
          <w:color w:val="000000"/>
          <w:sz w:val="24"/>
        </w:rPr>
        <w:t>During the term of the initial authorization, the applicant will complete board-approved training 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Coursework in the methods and techniques for the endorsement content sought.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Coursework in course and curriculum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Coursework in the measurement and evaluation of programs and students.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Coursework in the instruction of exceptional learners to include the education of individuals with disabilities, English language learners, and the gifted and talented.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Ethics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Mentor. </w:t>
      </w:r>
      <w:r>
        <w:rPr>
          <w:rFonts w:ascii="Times New Roman" w:hAnsi="Times New Roman"/>
          <w:b w:val="false"/>
          <w:i w:val="false"/>
          <w:color w:val="000000"/>
          <w:sz w:val="24"/>
        </w:rPr>
        <w:t>The applicant will be assigned a mentor by the hiring school district.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22.15(2)</w:t>
      </w:r>
      <w:r>
        <w:rPr>
          <w:rFonts w:ascii="Times New Roman" w:hAnsi="Times New Roman"/>
          <w:b w:val="false"/>
          <w:i w:val="false"/>
          <w:color w:val="000000"/>
          <w:sz w:val="24"/>
        </w:rPr>
        <w:t> </w:t>
      </w:r>
      <w:r>
        <w:rPr>
          <w:rFonts w:ascii="Times New Roman" w:hAnsi="Times New Roman"/>
          <w:b w:val="false"/>
          <w:i/>
          <w:color w:val="000000"/>
          <w:sz w:val="24"/>
        </w:rPr>
        <w:t xml:space="preserve">Validity—initial authorization. </w:t>
      </w:r>
      <w:r>
        <w:rPr>
          <w:rFonts w:ascii="Times New Roman" w:hAnsi="Times New Roman"/>
          <w:b w:val="false"/>
          <w:i w:val="false"/>
          <w:color w:val="000000"/>
          <w:sz w:val="24"/>
        </w:rPr>
        <w:t>The initial authorization is valid for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22.15(3)</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the arts and sciences authorization. </w:t>
      </w:r>
      <w:r>
        <w:rPr>
          <w:rFonts w:ascii="Times New Roman" w:hAnsi="Times New Roman"/>
          <w:b w:val="false"/>
          <w:i w:val="false"/>
          <w:color w:val="000000"/>
          <w:sz w:val="24"/>
        </w:rPr>
        <w:t xml:space="preserve">The initial arts and sciences authorization may be converted to the arts and sciences authorization if the applicant completes the required coursework set forth in paragraph </w:t>
      </w:r>
      <w:hyperlink r:id="rId7">
        <w:r>
          <w:rPr>
            <w:rStyle w:val="Hyperlink"/>
            <w:rFonts w:ascii="Times New Roman" w:hAnsi="Times New Roman"/>
            <w:b w:val="false"/>
            <w:i w:val="false"/>
            <w:color w:val="000000"/>
            <w:sz w:val="24"/>
          </w:rPr>
          <w:t>22.15(1)</w:t>
        </w:r>
      </w:hyperlink>
      <w:r>
        <w:rPr>
          <w:rFonts w:ascii="Times New Roman" w:hAnsi="Times New Roman"/>
          <w:b w:val="false"/>
          <w:i/>
          <w:color w:val="000000"/>
          <w:sz w:val="24"/>
        </w:rPr>
        <w:t>“d.”</w:t>
      </w:r>
      <w:r>
        <w:rPr>
          <w:rFonts w:ascii="Times New Roman" w:hAnsi="Times New Roman"/>
          <w:b w:val="false"/>
          <w:i w:val="false"/>
          <w:color w:val="000000"/>
          <w:sz w:val="24"/>
        </w:rPr>
        <w:t xml:space="preserve"> This authorization is valid for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22.15(4)</w:t>
      </w:r>
      <w:r>
        <w:rPr>
          <w:rFonts w:ascii="Times New Roman" w:hAnsi="Times New Roman"/>
          <w:b w:val="false"/>
          <w:i w:val="false"/>
          <w:color w:val="000000"/>
          <w:sz w:val="24"/>
        </w:rPr>
        <w:t> </w:t>
      </w:r>
      <w:r>
        <w:rPr>
          <w:rFonts w:ascii="Times New Roman" w:hAnsi="Times New Roman"/>
          <w:b w:val="false"/>
          <w:i/>
          <w:color w:val="000000"/>
          <w:sz w:val="24"/>
        </w:rPr>
        <w:t xml:space="preserve">Period of applicability. </w:t>
      </w:r>
      <w:r>
        <w:rPr>
          <w:rFonts w:ascii="Times New Roman" w:hAnsi="Times New Roman"/>
          <w:b w:val="false"/>
          <w:i w:val="false"/>
          <w:color w:val="000000"/>
          <w:sz w:val="24"/>
        </w:rPr>
        <w:t>This rule ceases to be applicable beginning July 1, 2030.</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hcw-cnqi-ifz" Type="http://schemas.openxmlformats.org/officeDocument/2006/relationships/hyperlink" Id="rId4"/>
    <Relationship TargetMode="External" Target="mailto:beth.myers@iowa.gov" Type="http://schemas.openxmlformats.org/officeDocument/2006/relationships/hyperlink" Id="rId5"/>
    <Relationship TargetMode="External" Target="https://www.legis.iowa.gov/docs/iac/rule/282.22.3.pdf" Type="http://schemas.openxmlformats.org/officeDocument/2006/relationships/hyperlink" Id="rId6"/>
    <Relationship TargetMode="External" Target="https://www.legis.iowa.gov/docs/iac/rule/282.22.1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